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Council Enquiry Template</w:t>
      </w:r>
    </w:p>
    <w:p>
      <w:pPr>
        <w:pStyle w:val="Subtitle"/>
      </w:pPr>
      <w:r>
        <w:t xml:space="preserve">Australian</w:t>
      </w:r>
      <w:r>
        <w:t xml:space="preserve"> </w:t>
      </w:r>
      <w:r>
        <w:t xml:space="preserve">Tiny</w:t>
      </w:r>
      <w:r>
        <w:t xml:space="preserve"> </w:t>
      </w:r>
      <w:r>
        <w:t xml:space="preserve">Home</w:t>
      </w:r>
      <w:r>
        <w:t xml:space="preserve"> </w:t>
      </w:r>
      <w:r>
        <w:t xml:space="preserve">Buyer's</w:t>
      </w:r>
      <w:r>
        <w:t xml:space="preserve"> </w:t>
      </w:r>
      <w:r>
        <w:t xml:space="preserve">Toolkit</w:t>
      </w:r>
      <w:r>
        <w:t xml:space="preserve"> </w:t>
      </w:r>
      <w:r>
        <w:t xml:space="preserve">|</w:t>
      </w:r>
      <w:r>
        <w:t xml:space="preserve"> </w:t>
      </w:r>
      <w:r>
        <w:t xml:space="preserve">Version</w:t>
      </w:r>
      <w:r>
        <w:t xml:space="preserve"> </w:t>
      </w:r>
      <w:r>
        <w:t xml:space="preserve">1.0</w:t>
      </w:r>
      <w:r>
        <w:t xml:space="preserve"> </w:t>
      </w:r>
      <w:r>
        <w:t xml:space="preserve">|</w:t>
      </w:r>
      <w:r>
        <w:t xml:space="preserve"> </w:t>
      </w:r>
      <w:r>
        <w:t xml:space="preserve">July</w:t>
      </w:r>
      <w:r>
        <w:t xml:space="preserve"> </w:t>
      </w:r>
      <w:r>
        <w:t xml:space="preserve">2026</w:t>
      </w:r>
    </w:p>
    <w:bookmarkStart w:id="20" w:name="X07756a805c8cb6efd7d6d8bb4040d916242dbf1"/>
    <w:p>
      <w:pPr>
        <w:pStyle w:val="Heading2"/>
      </w:pPr>
      <w:r>
        <w:t xml:space="preserve">The highest value phone call in this process</w:t>
      </w:r>
    </w:p>
    <w:p>
      <w:pPr>
        <w:pStyle w:val="FirstParagraph"/>
      </w:pPr>
      <w:r>
        <w:t xml:space="preserve">It is free, it takes about twenty minutes, and it is the only thing that definitively answers the question everything else depends on:</w:t>
      </w:r>
      <w:r>
        <w:t xml:space="preserve"> </w:t>
      </w:r>
      <w:r>
        <w:rPr>
          <w:iCs/>
          <w:i/>
        </w:rPr>
        <w:t xml:space="preserve">can I legally live in this, on this block?</w:t>
      </w:r>
    </w:p>
    <w:p>
      <w:pPr>
        <w:pStyle w:val="BodyText"/>
      </w:pPr>
      <w:r>
        <w:t xml:space="preserve">Most people make this call fourth. Make it first.</w:t>
      </w:r>
    </w:p>
    <w:p>
      <w:pPr>
        <w:pStyle w:val="BodyText"/>
      </w:pPr>
      <w:r>
        <w:t xml:space="preserve">Two rules before you dial.</w:t>
      </w:r>
    </w:p>
    <w:p>
      <w:pPr>
        <w:pStyle w:val="BodyText"/>
      </w:pPr>
      <w:r>
        <w:rPr>
          <w:bCs/>
          <w:b/>
        </w:rPr>
        <w:t xml:space="preserve">Ask about your specific address, not the concept.</w:t>
      </w:r>
      <w:r>
        <w:t xml:space="preserve"> </w:t>
      </w:r>
      <w:r>
        <w:t xml:space="preserve">“</w:t>
      </w:r>
      <w:r>
        <w:t xml:space="preserve">Are tiny homes allowed in this council area</w:t>
      </w:r>
      <w:r>
        <w:t xml:space="preserve">”</w:t>
      </w:r>
      <w:r>
        <w:t xml:space="preserve"> </w:t>
      </w:r>
      <w:r>
        <w:t xml:space="preserve">gets you a brochure.</w:t>
      </w:r>
      <w:r>
        <w:t xml:space="preserve"> </w:t>
      </w:r>
      <w:r>
        <w:t xml:space="preserve">“</w:t>
      </w:r>
      <w:r>
        <w:t xml:space="preserve">Lot 4 on RP12345 at 27 Example Road, what applies</w:t>
      </w:r>
      <w:r>
        <w:t xml:space="preserve">”</w:t>
      </w:r>
      <w:r>
        <w:t xml:space="preserve"> </w:t>
      </w:r>
      <w:r>
        <w:t xml:space="preserve">gets you an answer.</w:t>
      </w:r>
    </w:p>
    <w:p>
      <w:pPr>
        <w:pStyle w:val="BodyText"/>
      </w:pPr>
      <w:r>
        <w:rPr>
          <w:bCs/>
          <w:b/>
        </w:rPr>
        <w:t xml:space="preserve">Do not describe it as a tiny home.</w:t>
      </w:r>
      <w:r>
        <w:t xml:space="preserve"> </w:t>
      </w:r>
      <w:r>
        <w:t xml:space="preserve">The term has no legal meaning and it triggers assumptions. Describe what it physically is: a secondary dwelling, an ancillary dwelling, a caravan, or a relocatable dwelling. The words determine which department you get routed to.</w:t>
      </w:r>
    </w:p>
    <w:p>
      <w:r>
        <w:pict>
          <v:rect style="width:0;height:1.5pt" o:hralign="center" o:hrstd="t" o:hr="t"/>
        </w:pict>
      </w:r>
    </w:p>
    <w:bookmarkEnd w:id="20"/>
    <w:bookmarkStart w:id="21" w:name="who-to-ask-for"/>
    <w:p>
      <w:pPr>
        <w:pStyle w:val="Heading2"/>
      </w:pPr>
      <w:r>
        <w:t xml:space="preserve">Who to ask for</w:t>
      </w:r>
    </w:p>
    <w:p>
      <w:pPr>
        <w:pStyle w:val="FirstParagraph"/>
      </w:pPr>
      <w:r>
        <w:t xml:space="preserve">Ring the main council number and ask for</w:t>
      </w:r>
      <w:r>
        <w:t xml:space="preserve"> </w:t>
      </w:r>
      <w:r>
        <w:rPr>
          <w:bCs/>
          <w:b/>
        </w:rPr>
        <w:t xml:space="preserve">the duty planner</w:t>
      </w:r>
      <w:r>
        <w:t xml:space="preserve"> </w:t>
      </w:r>
      <w:r>
        <w:t xml:space="preserve">or</w:t>
      </w:r>
      <w:r>
        <w:t xml:space="preserve"> </w:t>
      </w:r>
      <w:r>
        <w:rPr>
          <w:bCs/>
          <w:b/>
        </w:rPr>
        <w:t xml:space="preserve">the planning information counter</w:t>
      </w:r>
      <w:r>
        <w:t xml:space="preserve">.</w:t>
      </w:r>
    </w:p>
    <w:p>
      <w:pPr>
        <w:pStyle w:val="BodyText"/>
      </w:pPr>
      <w:r>
        <w:t xml:space="preserve">If you already know you are on the fixed dwelling path, you may also want</w:t>
      </w:r>
      <w:r>
        <w:t xml:space="preserve"> </w:t>
      </w:r>
      <w:r>
        <w:rPr>
          <w:bCs/>
          <w:b/>
        </w:rPr>
        <w:t xml:space="preserve">plumbing and drainage</w:t>
      </w:r>
      <w:r>
        <w:t xml:space="preserve"> </w:t>
      </w:r>
      <w:r>
        <w:t xml:space="preserve">for wastewater and</w:t>
      </w:r>
      <w:r>
        <w:t xml:space="preserve"> </w:t>
      </w:r>
      <w:r>
        <w:rPr>
          <w:bCs/>
          <w:b/>
        </w:rPr>
        <w:t xml:space="preserve">building services</w:t>
      </w:r>
      <w:r>
        <w:t xml:space="preserve">, but start with planning. Planning decides whether you are allowed. Building decides how it must be built.</w:t>
      </w:r>
    </w:p>
    <w:p>
      <w:pPr>
        <w:pStyle w:val="BodyText"/>
      </w:pPr>
      <w:r>
        <w:t xml:space="preserve">Many councils only staff the duty planner on certain days or hours. Ask when they are available rather than leaving a message.</w:t>
      </w:r>
    </w:p>
    <w:p>
      <w:r>
        <w:pict>
          <v:rect style="width:0;height:1.5pt" o:hralign="center" o:hrstd="t" o:hr="t"/>
        </w:pict>
      </w:r>
    </w:p>
    <w:bookmarkEnd w:id="21"/>
    <w:bookmarkStart w:id="22" w:name="phone-script"/>
    <w:p>
      <w:pPr>
        <w:pStyle w:val="Heading2"/>
      </w:pPr>
      <w:r>
        <w:t xml:space="preserve">Phone script</w:t>
      </w:r>
    </w:p>
    <w:p>
      <w:pPr>
        <w:pStyle w:val="BlockText"/>
      </w:pPr>
      <w:r>
        <w:t xml:space="preserve">“Hi, I’m looking at putting a second dwelling on a property and I want to check what’s permitted before I commit to anything. The address is [FULL ADDRESS], and the lot and plan is [LOT ON PLAN] if that helps.</w:t>
      </w:r>
    </w:p>
    <w:p>
      <w:pPr>
        <w:pStyle w:val="BlockText"/>
      </w:pPr>
      <w:r>
        <w:t xml:space="preserve">Can I run through a few questions?”</w:t>
      </w:r>
    </w:p>
    <w:p>
      <w:pPr>
        <w:pStyle w:val="FirstParagraph"/>
      </w:pPr>
      <w:r>
        <w:t xml:space="preserve">Then work through the list below in order. Write the answers down as you go. Do not rely on remembering.</w:t>
      </w:r>
    </w:p>
    <w:p>
      <w:r>
        <w:pict>
          <v:rect style="width:0;height:1.5pt" o:hralign="center" o:hrstd="t" o:hr="t"/>
        </w:pict>
      </w:r>
    </w:p>
    <w:bookmarkEnd w:id="22"/>
    <w:bookmarkStart w:id="23" w:name="the-questions"/>
    <w:p>
      <w:pPr>
        <w:pStyle w:val="Heading2"/>
      </w:pPr>
      <w:r>
        <w:t xml:space="preserve">The questions</w:t>
      </w:r>
    </w:p>
    <w:p>
      <w:pPr>
        <w:pStyle w:val="FirstParagraph"/>
      </w:pPr>
      <w:r>
        <w:rPr>
          <w:bCs/>
          <w:b/>
        </w:rPr>
        <w:t xml:space="preserve">About the land</w:t>
      </w:r>
    </w:p>
    <w:p>
      <w:pPr>
        <w:numPr>
          <w:ilvl w:val="0"/>
          <w:numId w:val="1001"/>
        </w:numPr>
        <w:pStyle w:val="Compact"/>
      </w:pPr>
      <w:r>
        <w:t xml:space="preserve">What zone is this property in?</w:t>
      </w:r>
    </w:p>
    <w:p>
      <w:pPr>
        <w:numPr>
          <w:ilvl w:val="0"/>
          <w:numId w:val="1001"/>
        </w:numPr>
        <w:pStyle w:val="Compact"/>
      </w:pPr>
      <w:r>
        <w:t xml:space="preserve">Are there any overlays on it? Specifically bushfire, flood, heritage, environmental or character.</w:t>
      </w:r>
    </w:p>
    <w:p>
      <w:pPr>
        <w:numPr>
          <w:ilvl w:val="0"/>
          <w:numId w:val="1001"/>
        </w:numPr>
        <w:pStyle w:val="Compact"/>
      </w:pPr>
      <w:r>
        <w:t xml:space="preserve">What is the lot size, and does that meet the minimum for what I’m proposing?</w:t>
      </w:r>
    </w:p>
    <w:p>
      <w:pPr>
        <w:pStyle w:val="FirstParagraph"/>
      </w:pPr>
      <w:r>
        <w:rPr>
          <w:bCs/>
          <w:b/>
        </w:rPr>
        <w:t xml:space="preserve">About what’s allowed</w:t>
      </w:r>
    </w:p>
    <w:p>
      <w:pPr>
        <w:numPr>
          <w:ilvl w:val="0"/>
          <w:numId w:val="1002"/>
        </w:numPr>
        <w:pStyle w:val="Compact"/>
      </w:pPr>
      <w:r>
        <w:t xml:space="preserve">Is a secondary dwelling or ancillary dwelling permitted on this lot?</w:t>
      </w:r>
    </w:p>
    <w:p>
      <w:pPr>
        <w:numPr>
          <w:ilvl w:val="0"/>
          <w:numId w:val="1002"/>
        </w:numPr>
        <w:pStyle w:val="Compact"/>
      </w:pPr>
      <w:r>
        <w:t xml:space="preserve">What is the maximum floor area allowed for it?</w:t>
      </w:r>
    </w:p>
    <w:p>
      <w:pPr>
        <w:numPr>
          <w:ilvl w:val="0"/>
          <w:numId w:val="1002"/>
        </w:numPr>
        <w:pStyle w:val="Compact"/>
      </w:pPr>
      <w:r>
        <w:t xml:space="preserve">What setbacks apply from boundaries?</w:t>
      </w:r>
    </w:p>
    <w:p>
      <w:pPr>
        <w:numPr>
          <w:ilvl w:val="0"/>
          <w:numId w:val="1002"/>
        </w:numPr>
        <w:pStyle w:val="Compact"/>
      </w:pPr>
      <w:r>
        <w:t xml:space="preserve">Can it be rented out to someone who isn’t a family member?</w:t>
      </w:r>
    </w:p>
    <w:p>
      <w:pPr>
        <w:numPr>
          <w:ilvl w:val="0"/>
          <w:numId w:val="1002"/>
        </w:numPr>
        <w:pStyle w:val="Compact"/>
      </w:pPr>
      <w:r>
        <w:t xml:space="preserve">Is there a limit on how many dwellings can be on this lot?</w:t>
      </w:r>
    </w:p>
    <w:p>
      <w:pPr>
        <w:pStyle w:val="FirstParagraph"/>
      </w:pPr>
      <w:r>
        <w:rPr>
          <w:bCs/>
          <w:b/>
        </w:rPr>
        <w:t xml:space="preserve">About the approval pathway</w:t>
      </w:r>
    </w:p>
    <w:p>
      <w:pPr>
        <w:numPr>
          <w:ilvl w:val="0"/>
          <w:numId w:val="1003"/>
        </w:numPr>
        <w:pStyle w:val="Compact"/>
      </w:pPr>
      <w:r>
        <w:t xml:space="preserve">Do I need planning approval, or is building approval on its own enough?</w:t>
      </w:r>
    </w:p>
    <w:p>
      <w:pPr>
        <w:numPr>
          <w:ilvl w:val="0"/>
          <w:numId w:val="1003"/>
        </w:numPr>
        <w:pStyle w:val="Compact"/>
      </w:pPr>
      <w:r>
        <w:t xml:space="preserve">If planning approval is needed, what’s the current assessment timeframe?</w:t>
      </w:r>
    </w:p>
    <w:p>
      <w:pPr>
        <w:numPr>
          <w:ilvl w:val="0"/>
          <w:numId w:val="1003"/>
        </w:numPr>
        <w:pStyle w:val="Compact"/>
      </w:pPr>
      <w:r>
        <w:t xml:space="preserve">What are the council fees for each?</w:t>
      </w:r>
    </w:p>
    <w:p>
      <w:pPr>
        <w:pStyle w:val="FirstParagraph"/>
      </w:pPr>
      <w:r>
        <w:rPr>
          <w:bCs/>
          <w:b/>
        </w:rPr>
        <w:t xml:space="preserve">If you are considering a dwelling on wheels</w:t>
      </w:r>
    </w:p>
    <w:p>
      <w:pPr>
        <w:numPr>
          <w:ilvl w:val="0"/>
          <w:numId w:val="1004"/>
        </w:numPr>
        <w:pStyle w:val="Compact"/>
      </w:pPr>
      <w:r>
        <w:t xml:space="preserve">How does council treat a caravan or relocatable dwelling on private land here?</w:t>
      </w:r>
    </w:p>
    <w:p>
      <w:pPr>
        <w:numPr>
          <w:ilvl w:val="0"/>
          <w:numId w:val="1004"/>
        </w:numPr>
        <w:pStyle w:val="Compact"/>
      </w:pPr>
      <w:r>
        <w:t xml:space="preserve">How many days per year can someone occupy it without approval?</w:t>
      </w:r>
    </w:p>
    <w:p>
      <w:pPr>
        <w:numPr>
          <w:ilvl w:val="0"/>
          <w:numId w:val="1004"/>
        </w:numPr>
        <w:pStyle w:val="Compact"/>
      </w:pPr>
      <w:r>
        <w:t xml:space="preserve">Does that change if there’s already a house on the property?</w:t>
      </w:r>
    </w:p>
    <w:p>
      <w:pPr>
        <w:numPr>
          <w:ilvl w:val="0"/>
          <w:numId w:val="1004"/>
        </w:numPr>
        <w:pStyle w:val="Compact"/>
      </w:pPr>
      <w:r>
        <w:t xml:space="preserve">If I connect it to water, power or sewer, does that change its classification?</w:t>
      </w:r>
    </w:p>
    <w:p>
      <w:pPr>
        <w:pStyle w:val="FirstParagraph"/>
      </w:pPr>
      <w:r>
        <w:rPr>
          <w:bCs/>
          <w:b/>
        </w:rPr>
        <w:t xml:space="preserve">Services and wastewater</w:t>
      </w:r>
    </w:p>
    <w:p>
      <w:pPr>
        <w:numPr>
          <w:ilvl w:val="0"/>
          <w:numId w:val="1005"/>
        </w:numPr>
        <w:pStyle w:val="Compact"/>
      </w:pPr>
      <w:r>
        <w:t xml:space="preserve">Is this property on mains sewer, or does it need an on-site system?</w:t>
      </w:r>
    </w:p>
    <w:p>
      <w:pPr>
        <w:numPr>
          <w:ilvl w:val="0"/>
          <w:numId w:val="1005"/>
        </w:numPr>
        <w:pStyle w:val="Compact"/>
      </w:pPr>
      <w:r>
        <w:t xml:space="preserve">If on-site, what approval do I need and who assesses it?</w:t>
      </w:r>
    </w:p>
    <w:p>
      <w:pPr>
        <w:numPr>
          <w:ilvl w:val="0"/>
          <w:numId w:val="1005"/>
        </w:numPr>
        <w:pStyle w:val="Compact"/>
      </w:pPr>
      <w:r>
        <w:t xml:space="preserve">Are there any water or stormwater constraints I should know about?</w:t>
      </w:r>
    </w:p>
    <w:p>
      <w:pPr>
        <w:pStyle w:val="FirstParagraph"/>
      </w:pPr>
      <w:r>
        <w:rPr>
          <w:bCs/>
          <w:b/>
        </w:rPr>
        <w:t xml:space="preserve">The catch-all</w:t>
      </w:r>
    </w:p>
    <w:p>
      <w:pPr>
        <w:numPr>
          <w:ilvl w:val="0"/>
          <w:numId w:val="1006"/>
        </w:numPr>
        <w:pStyle w:val="Compact"/>
      </w:pPr>
      <w:r>
        <w:t xml:space="preserve">Is there anything else about this specific property that would affect a second dwelling?</w:t>
      </w:r>
    </w:p>
    <w:p>
      <w:pPr>
        <w:numPr>
          <w:ilvl w:val="0"/>
          <w:numId w:val="1006"/>
        </w:numPr>
        <w:pStyle w:val="Compact"/>
      </w:pPr>
      <w:r>
        <w:t xml:space="preserve">Can you send me links to the relevant sections of the planning scheme?</w:t>
      </w:r>
    </w:p>
    <w:p>
      <w:pPr>
        <w:pStyle w:val="FirstParagraph"/>
      </w:pPr>
      <w:r>
        <w:t xml:space="preserve">Question 19 is the most valuable one on the list. Duty planners know their patch and will often volunteer something you would never have thought to ask.</w:t>
      </w:r>
    </w:p>
    <w:p>
      <w:r>
        <w:pict>
          <v:rect style="width:0;height:1.5pt" o:hralign="center" o:hrstd="t" o:hr="t"/>
        </w:pict>
      </w:r>
    </w:p>
    <w:bookmarkEnd w:id="23"/>
    <w:bookmarkStart w:id="24" w:name="record-it-properly"/>
    <w:p>
      <w:pPr>
        <w:pStyle w:val="Heading2"/>
      </w:pPr>
      <w:r>
        <w:t xml:space="preserve">Record it properly</w:t>
      </w:r>
    </w:p>
    <w:p>
      <w:pPr>
        <w:pStyle w:val="FirstParagraph"/>
      </w:pPr>
      <w:r>
        <w:t xml:space="preserve">Fill this in during the call, not after.</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Date and time</w:t>
            </w:r>
          </w:p>
        </w:tc>
        <w:tc>
          <w:tcPr/>
          <w:p>
            <w:pPr>
              <w:pStyle w:val="Compact"/>
            </w:pPr>
          </w:p>
        </w:tc>
      </w:tr>
      <w:tr>
        <w:tc>
          <w:tcPr/>
          <w:p>
            <w:pPr>
              <w:pStyle w:val="Compact"/>
              <w:jc w:val="left"/>
            </w:pPr>
            <w:r>
              <w:t xml:space="preserve">Council</w:t>
            </w:r>
          </w:p>
        </w:tc>
        <w:tc>
          <w:tcPr/>
          <w:p>
            <w:pPr>
              <w:pStyle w:val="Compact"/>
            </w:pPr>
          </w:p>
        </w:tc>
      </w:tr>
      <w:tr>
        <w:tc>
          <w:tcPr/>
          <w:p>
            <w:pPr>
              <w:pStyle w:val="Compact"/>
              <w:jc w:val="left"/>
            </w:pPr>
            <w:r>
              <w:t xml:space="preserve">Officer name</w:t>
            </w:r>
          </w:p>
        </w:tc>
        <w:tc>
          <w:tcPr/>
          <w:p>
            <w:pPr>
              <w:pStyle w:val="Compact"/>
            </w:pPr>
          </w:p>
        </w:tc>
      </w:tr>
      <w:tr>
        <w:tc>
          <w:tcPr/>
          <w:p>
            <w:pPr>
              <w:pStyle w:val="Compact"/>
              <w:jc w:val="left"/>
            </w:pPr>
            <w:r>
              <w:t xml:space="preserve">Officer position</w:t>
            </w:r>
          </w:p>
        </w:tc>
        <w:tc>
          <w:tcPr/>
          <w:p>
            <w:pPr>
              <w:pStyle w:val="Compact"/>
            </w:pPr>
          </w:p>
        </w:tc>
      </w:tr>
      <w:tr>
        <w:tc>
          <w:tcPr/>
          <w:p>
            <w:pPr>
              <w:pStyle w:val="Compact"/>
              <w:jc w:val="left"/>
            </w:pPr>
            <w:r>
              <w:t xml:space="preserve">Direct number or reference</w:t>
            </w:r>
          </w:p>
        </w:tc>
        <w:tc>
          <w:tcPr/>
          <w:p>
            <w:pPr>
              <w:pStyle w:val="Compact"/>
            </w:pPr>
          </w:p>
        </w:tc>
      </w:tr>
      <w:tr>
        <w:tc>
          <w:tcPr/>
          <w:p>
            <w:pPr>
              <w:pStyle w:val="Compact"/>
              <w:jc w:val="left"/>
            </w:pPr>
            <w:r>
              <w:t xml:space="preserve">Property address</w:t>
            </w:r>
          </w:p>
        </w:tc>
        <w:tc>
          <w:tcPr/>
          <w:p>
            <w:pPr>
              <w:pStyle w:val="Compact"/>
            </w:pPr>
          </w:p>
        </w:tc>
      </w:tr>
      <w:tr>
        <w:tc>
          <w:tcPr/>
          <w:p>
            <w:pPr>
              <w:pStyle w:val="Compact"/>
              <w:jc w:val="left"/>
            </w:pPr>
            <w:r>
              <w:t xml:space="preserve">Lot on plan</w:t>
            </w:r>
          </w:p>
        </w:tc>
        <w:tc>
          <w:tcPr/>
          <w:p>
            <w:pPr>
              <w:pStyle w:val="Compact"/>
            </w:pPr>
          </w:p>
        </w:tc>
      </w:tr>
    </w:tbl>
    <w:p>
      <w:pPr>
        <w:pStyle w:val="BodyText"/>
      </w:pPr>
      <w:r>
        <w:rPr>
          <w:bCs/>
          <w:b/>
        </w:rPr>
        <w:t xml:space="preserve">Answers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w:t>
            </w:r>
          </w:p>
        </w:tc>
        <w:tc>
          <w:tcPr/>
          <w:p>
            <w:pPr>
              <w:pStyle w:val="Compact"/>
              <w:jc w:val="left"/>
            </w:pPr>
            <w:r>
              <w:t xml:space="preserve">Question</w:t>
            </w:r>
          </w:p>
        </w:tc>
        <w:tc>
          <w:tcPr/>
          <w:p>
            <w:pPr>
              <w:pStyle w:val="Compact"/>
              <w:jc w:val="left"/>
            </w:pPr>
            <w:r>
              <w:t xml:space="preserve">Answer</w:t>
            </w:r>
          </w:p>
        </w:tc>
      </w:tr>
      <w:tr>
        <w:tc>
          <w:tcPr/>
          <w:p>
            <w:pPr>
              <w:pStyle w:val="Compact"/>
              <w:jc w:val="left"/>
            </w:pPr>
            <w:r>
              <w:t xml:space="preserve">1</w:t>
            </w:r>
          </w:p>
        </w:tc>
        <w:tc>
          <w:tcPr/>
          <w:p>
            <w:pPr>
              <w:pStyle w:val="Compact"/>
              <w:jc w:val="left"/>
            </w:pPr>
            <w:r>
              <w:t xml:space="preserve">Zone</w:t>
            </w:r>
          </w:p>
        </w:tc>
        <w:tc>
          <w:tcPr/>
          <w:p>
            <w:pPr>
              <w:pStyle w:val="Compact"/>
            </w:pPr>
          </w:p>
        </w:tc>
      </w:tr>
      <w:tr>
        <w:tc>
          <w:tcPr/>
          <w:p>
            <w:pPr>
              <w:pStyle w:val="Compact"/>
              <w:jc w:val="left"/>
            </w:pPr>
            <w:r>
              <w:t xml:space="preserve">2</w:t>
            </w:r>
          </w:p>
        </w:tc>
        <w:tc>
          <w:tcPr/>
          <w:p>
            <w:pPr>
              <w:pStyle w:val="Compact"/>
              <w:jc w:val="left"/>
            </w:pPr>
            <w:r>
              <w:t xml:space="preserve">Overlays</w:t>
            </w:r>
          </w:p>
        </w:tc>
        <w:tc>
          <w:tcPr/>
          <w:p>
            <w:pPr>
              <w:pStyle w:val="Compact"/>
            </w:pPr>
          </w:p>
        </w:tc>
      </w:tr>
      <w:tr>
        <w:tc>
          <w:tcPr/>
          <w:p>
            <w:pPr>
              <w:pStyle w:val="Compact"/>
              <w:jc w:val="left"/>
            </w:pPr>
            <w:r>
              <w:t xml:space="preserve">3</w:t>
            </w:r>
          </w:p>
        </w:tc>
        <w:tc>
          <w:tcPr/>
          <w:p>
            <w:pPr>
              <w:pStyle w:val="Compact"/>
              <w:jc w:val="left"/>
            </w:pPr>
            <w:r>
              <w:t xml:space="preserve">Lot size / minimum</w:t>
            </w:r>
          </w:p>
        </w:tc>
        <w:tc>
          <w:tcPr/>
          <w:p>
            <w:pPr>
              <w:pStyle w:val="Compact"/>
            </w:pPr>
          </w:p>
        </w:tc>
      </w:tr>
      <w:tr>
        <w:tc>
          <w:tcPr/>
          <w:p>
            <w:pPr>
              <w:pStyle w:val="Compact"/>
              <w:jc w:val="left"/>
            </w:pPr>
            <w:r>
              <w:t xml:space="preserve">4</w:t>
            </w:r>
          </w:p>
        </w:tc>
        <w:tc>
          <w:tcPr/>
          <w:p>
            <w:pPr>
              <w:pStyle w:val="Compact"/>
              <w:jc w:val="left"/>
            </w:pPr>
            <w:r>
              <w:t xml:space="preserve">Secondary dwelling permitted</w:t>
            </w:r>
          </w:p>
        </w:tc>
        <w:tc>
          <w:tcPr/>
          <w:p>
            <w:pPr>
              <w:pStyle w:val="Compact"/>
            </w:pPr>
          </w:p>
        </w:tc>
      </w:tr>
      <w:tr>
        <w:tc>
          <w:tcPr/>
          <w:p>
            <w:pPr>
              <w:pStyle w:val="Compact"/>
              <w:jc w:val="left"/>
            </w:pPr>
            <w:r>
              <w:t xml:space="preserve">5</w:t>
            </w:r>
          </w:p>
        </w:tc>
        <w:tc>
          <w:tcPr/>
          <w:p>
            <w:pPr>
              <w:pStyle w:val="Compact"/>
              <w:jc w:val="left"/>
            </w:pPr>
            <w:r>
              <w:t xml:space="preserve">Maximum floor area</w:t>
            </w:r>
          </w:p>
        </w:tc>
        <w:tc>
          <w:tcPr/>
          <w:p>
            <w:pPr>
              <w:pStyle w:val="Compact"/>
            </w:pPr>
          </w:p>
        </w:tc>
      </w:tr>
      <w:tr>
        <w:tc>
          <w:tcPr/>
          <w:p>
            <w:pPr>
              <w:pStyle w:val="Compact"/>
              <w:jc w:val="left"/>
            </w:pPr>
            <w:r>
              <w:t xml:space="preserve">6</w:t>
            </w:r>
          </w:p>
        </w:tc>
        <w:tc>
          <w:tcPr/>
          <w:p>
            <w:pPr>
              <w:pStyle w:val="Compact"/>
              <w:jc w:val="left"/>
            </w:pPr>
            <w:r>
              <w:t xml:space="preserve">Setbacks</w:t>
            </w:r>
          </w:p>
        </w:tc>
        <w:tc>
          <w:tcPr/>
          <w:p>
            <w:pPr>
              <w:pStyle w:val="Compact"/>
            </w:pPr>
          </w:p>
        </w:tc>
      </w:tr>
      <w:tr>
        <w:tc>
          <w:tcPr/>
          <w:p>
            <w:pPr>
              <w:pStyle w:val="Compact"/>
              <w:jc w:val="left"/>
            </w:pPr>
            <w:r>
              <w:t xml:space="preserve">7</w:t>
            </w:r>
          </w:p>
        </w:tc>
        <w:tc>
          <w:tcPr/>
          <w:p>
            <w:pPr>
              <w:pStyle w:val="Compact"/>
              <w:jc w:val="left"/>
            </w:pPr>
            <w:r>
              <w:t xml:space="preserve">Can be rented</w:t>
            </w:r>
          </w:p>
        </w:tc>
        <w:tc>
          <w:tcPr/>
          <w:p>
            <w:pPr>
              <w:pStyle w:val="Compact"/>
            </w:pPr>
          </w:p>
        </w:tc>
      </w:tr>
      <w:tr>
        <w:tc>
          <w:tcPr/>
          <w:p>
            <w:pPr>
              <w:pStyle w:val="Compact"/>
              <w:jc w:val="left"/>
            </w:pPr>
            <w:r>
              <w:t xml:space="preserve">8</w:t>
            </w:r>
          </w:p>
        </w:tc>
        <w:tc>
          <w:tcPr/>
          <w:p>
            <w:pPr>
              <w:pStyle w:val="Compact"/>
              <w:jc w:val="left"/>
            </w:pPr>
            <w:r>
              <w:t xml:space="preserve">Dwelling limit</w:t>
            </w:r>
          </w:p>
        </w:tc>
        <w:tc>
          <w:tcPr/>
          <w:p>
            <w:pPr>
              <w:pStyle w:val="Compact"/>
            </w:pPr>
          </w:p>
        </w:tc>
      </w:tr>
      <w:tr>
        <w:tc>
          <w:tcPr/>
          <w:p>
            <w:pPr>
              <w:pStyle w:val="Compact"/>
              <w:jc w:val="left"/>
            </w:pPr>
            <w:r>
              <w:t xml:space="preserve">9</w:t>
            </w:r>
          </w:p>
        </w:tc>
        <w:tc>
          <w:tcPr/>
          <w:p>
            <w:pPr>
              <w:pStyle w:val="Compact"/>
              <w:jc w:val="left"/>
            </w:pPr>
            <w:r>
              <w:t xml:space="preserve">Approval pathway</w:t>
            </w:r>
          </w:p>
        </w:tc>
        <w:tc>
          <w:tcPr/>
          <w:p>
            <w:pPr>
              <w:pStyle w:val="Compact"/>
            </w:pPr>
          </w:p>
        </w:tc>
      </w:tr>
      <w:tr>
        <w:tc>
          <w:tcPr/>
          <w:p>
            <w:pPr>
              <w:pStyle w:val="Compact"/>
              <w:jc w:val="left"/>
            </w:pPr>
            <w:r>
              <w:t xml:space="preserve">10</w:t>
            </w:r>
          </w:p>
        </w:tc>
        <w:tc>
          <w:tcPr/>
          <w:p>
            <w:pPr>
              <w:pStyle w:val="Compact"/>
              <w:jc w:val="left"/>
            </w:pPr>
            <w:r>
              <w:t xml:space="preserve">Timeframe</w:t>
            </w:r>
          </w:p>
        </w:tc>
        <w:tc>
          <w:tcPr/>
          <w:p>
            <w:pPr>
              <w:pStyle w:val="Compact"/>
            </w:pPr>
          </w:p>
        </w:tc>
      </w:tr>
      <w:tr>
        <w:tc>
          <w:tcPr/>
          <w:p>
            <w:pPr>
              <w:pStyle w:val="Compact"/>
              <w:jc w:val="left"/>
            </w:pPr>
            <w:r>
              <w:t xml:space="preserve">11</w:t>
            </w:r>
          </w:p>
        </w:tc>
        <w:tc>
          <w:tcPr/>
          <w:p>
            <w:pPr>
              <w:pStyle w:val="Compact"/>
              <w:jc w:val="left"/>
            </w:pPr>
            <w:r>
              <w:t xml:space="preserve">Fees</w:t>
            </w:r>
          </w:p>
        </w:tc>
        <w:tc>
          <w:tcPr/>
          <w:p>
            <w:pPr>
              <w:pStyle w:val="Compact"/>
            </w:pPr>
          </w:p>
        </w:tc>
      </w:tr>
      <w:tr>
        <w:tc>
          <w:tcPr/>
          <w:p>
            <w:pPr>
              <w:pStyle w:val="Compact"/>
              <w:jc w:val="left"/>
            </w:pPr>
            <w:r>
              <w:t xml:space="preserve">12</w:t>
            </w:r>
          </w:p>
        </w:tc>
        <w:tc>
          <w:tcPr/>
          <w:p>
            <w:pPr>
              <w:pStyle w:val="Compact"/>
              <w:jc w:val="left"/>
            </w:pPr>
            <w:r>
              <w:t xml:space="preserve">Caravan treatment</w:t>
            </w:r>
          </w:p>
        </w:tc>
        <w:tc>
          <w:tcPr/>
          <w:p>
            <w:pPr>
              <w:pStyle w:val="Compact"/>
            </w:pPr>
          </w:p>
        </w:tc>
      </w:tr>
      <w:tr>
        <w:tc>
          <w:tcPr/>
          <w:p>
            <w:pPr>
              <w:pStyle w:val="Compact"/>
              <w:jc w:val="left"/>
            </w:pPr>
            <w:r>
              <w:t xml:space="preserve">13</w:t>
            </w:r>
          </w:p>
        </w:tc>
        <w:tc>
          <w:tcPr/>
          <w:p>
            <w:pPr>
              <w:pStyle w:val="Compact"/>
              <w:jc w:val="left"/>
            </w:pPr>
            <w:r>
              <w:t xml:space="preserve">Occupancy days</w:t>
            </w:r>
          </w:p>
        </w:tc>
        <w:tc>
          <w:tcPr/>
          <w:p>
            <w:pPr>
              <w:pStyle w:val="Compact"/>
            </w:pPr>
          </w:p>
        </w:tc>
      </w:tr>
      <w:tr>
        <w:tc>
          <w:tcPr/>
          <w:p>
            <w:pPr>
              <w:pStyle w:val="Compact"/>
              <w:jc w:val="left"/>
            </w:pPr>
            <w:r>
              <w:t xml:space="preserve">14</w:t>
            </w:r>
          </w:p>
        </w:tc>
        <w:tc>
          <w:tcPr/>
          <w:p>
            <w:pPr>
              <w:pStyle w:val="Compact"/>
              <w:jc w:val="left"/>
            </w:pPr>
            <w:r>
              <w:t xml:space="preserve">Changes with existing house</w:t>
            </w:r>
          </w:p>
        </w:tc>
        <w:tc>
          <w:tcPr/>
          <w:p>
            <w:pPr>
              <w:pStyle w:val="Compact"/>
            </w:pPr>
          </w:p>
        </w:tc>
      </w:tr>
      <w:tr>
        <w:tc>
          <w:tcPr/>
          <w:p>
            <w:pPr>
              <w:pStyle w:val="Compact"/>
              <w:jc w:val="left"/>
            </w:pPr>
            <w:r>
              <w:t xml:space="preserve">15</w:t>
            </w:r>
          </w:p>
        </w:tc>
        <w:tc>
          <w:tcPr/>
          <w:p>
            <w:pPr>
              <w:pStyle w:val="Compact"/>
              <w:jc w:val="left"/>
            </w:pPr>
            <w:r>
              <w:t xml:space="preserve">Utility connection effect</w:t>
            </w:r>
          </w:p>
        </w:tc>
        <w:tc>
          <w:tcPr/>
          <w:p>
            <w:pPr>
              <w:pStyle w:val="Compact"/>
            </w:pPr>
          </w:p>
        </w:tc>
      </w:tr>
      <w:tr>
        <w:tc>
          <w:tcPr/>
          <w:p>
            <w:pPr>
              <w:pStyle w:val="Compact"/>
              <w:jc w:val="left"/>
            </w:pPr>
            <w:r>
              <w:t xml:space="preserve">16</w:t>
            </w:r>
          </w:p>
        </w:tc>
        <w:tc>
          <w:tcPr/>
          <w:p>
            <w:pPr>
              <w:pStyle w:val="Compact"/>
              <w:jc w:val="left"/>
            </w:pPr>
            <w:r>
              <w:t xml:space="preserve">Sewer or on-site</w:t>
            </w:r>
          </w:p>
        </w:tc>
        <w:tc>
          <w:tcPr/>
          <w:p>
            <w:pPr>
              <w:pStyle w:val="Compact"/>
            </w:pPr>
          </w:p>
        </w:tc>
      </w:tr>
      <w:tr>
        <w:tc>
          <w:tcPr/>
          <w:p>
            <w:pPr>
              <w:pStyle w:val="Compact"/>
              <w:jc w:val="left"/>
            </w:pPr>
            <w:r>
              <w:t xml:space="preserve">17</w:t>
            </w:r>
          </w:p>
        </w:tc>
        <w:tc>
          <w:tcPr/>
          <w:p>
            <w:pPr>
              <w:pStyle w:val="Compact"/>
              <w:jc w:val="left"/>
            </w:pPr>
            <w:r>
              <w:t xml:space="preserve">Wastewater approval</w:t>
            </w:r>
          </w:p>
        </w:tc>
        <w:tc>
          <w:tcPr/>
          <w:p>
            <w:pPr>
              <w:pStyle w:val="Compact"/>
            </w:pPr>
          </w:p>
        </w:tc>
      </w:tr>
      <w:tr>
        <w:tc>
          <w:tcPr/>
          <w:p>
            <w:pPr>
              <w:pStyle w:val="Compact"/>
              <w:jc w:val="left"/>
            </w:pPr>
            <w:r>
              <w:t xml:space="preserve">18</w:t>
            </w:r>
          </w:p>
        </w:tc>
        <w:tc>
          <w:tcPr/>
          <w:p>
            <w:pPr>
              <w:pStyle w:val="Compact"/>
              <w:jc w:val="left"/>
            </w:pPr>
            <w:r>
              <w:t xml:space="preserve">Water / stormwater</w:t>
            </w:r>
          </w:p>
        </w:tc>
        <w:tc>
          <w:tcPr/>
          <w:p>
            <w:pPr>
              <w:pStyle w:val="Compact"/>
            </w:pPr>
          </w:p>
        </w:tc>
      </w:tr>
      <w:tr>
        <w:tc>
          <w:tcPr/>
          <w:p>
            <w:pPr>
              <w:pStyle w:val="Compact"/>
              <w:jc w:val="left"/>
            </w:pPr>
            <w:r>
              <w:t xml:space="preserve">19</w:t>
            </w:r>
          </w:p>
        </w:tc>
        <w:tc>
          <w:tcPr/>
          <w:p>
            <w:pPr>
              <w:pStyle w:val="Compact"/>
              <w:jc w:val="left"/>
            </w:pPr>
            <w:r>
              <w:t xml:space="preserve">Anything else</w:t>
            </w:r>
          </w:p>
        </w:tc>
        <w:tc>
          <w:tcPr/>
          <w:p>
            <w:pPr>
              <w:pStyle w:val="Compact"/>
            </w:pPr>
          </w:p>
        </w:tc>
      </w:tr>
      <w:tr>
        <w:tc>
          <w:tcPr/>
          <w:p>
            <w:pPr>
              <w:pStyle w:val="Compact"/>
              <w:jc w:val="left"/>
            </w:pPr>
            <w:r>
              <w:t xml:space="preserve">20</w:t>
            </w:r>
          </w:p>
        </w:tc>
        <w:tc>
          <w:tcPr/>
          <w:p>
            <w:pPr>
              <w:pStyle w:val="Compact"/>
              <w:jc w:val="left"/>
            </w:pPr>
            <w:r>
              <w:t xml:space="preserve">Links</w:t>
            </w:r>
          </w:p>
        </w:tc>
        <w:tc>
          <w:tcPr/>
          <w:p>
            <w:pPr>
              <w:pStyle w:val="Compact"/>
            </w:pPr>
          </w:p>
        </w:tc>
      </w:tr>
    </w:tbl>
    <w:p>
      <w:r>
        <w:pict>
          <v:rect style="width:0;height:1.5pt" o:hralign="center" o:hrstd="t" o:hr="t"/>
        </w:pict>
      </w:r>
    </w:p>
    <w:bookmarkEnd w:id="24"/>
    <w:bookmarkStart w:id="25" w:name="confirm-it-in-writing"/>
    <w:p>
      <w:pPr>
        <w:pStyle w:val="Heading2"/>
      </w:pPr>
      <w:r>
        <w:t xml:space="preserve">Confirm it in writing</w:t>
      </w:r>
    </w:p>
    <w:p>
      <w:pPr>
        <w:pStyle w:val="FirstParagraph"/>
      </w:pPr>
      <w:r>
        <w:t xml:space="preserve">Phone advice is not binding and staff change. Send this the same day, while it is fresh.</w:t>
      </w:r>
    </w:p>
    <w:p>
      <w:pPr>
        <w:pStyle w:val="BlockText"/>
      </w:pPr>
      <w:r>
        <w:rPr>
          <w:bCs/>
          <w:b/>
        </w:rPr>
        <w:t xml:space="preserve">Subject: Written confirmation of planning enquiry — [FULL ADDRESS]</w:t>
      </w:r>
    </w:p>
    <w:p>
      <w:pPr>
        <w:pStyle w:val="BlockText"/>
      </w:pPr>
      <w:r>
        <w:t xml:space="preserve">Hello,</w:t>
      </w:r>
    </w:p>
    <w:p>
      <w:pPr>
        <w:pStyle w:val="BlockText"/>
      </w:pPr>
      <w:r>
        <w:t xml:space="preserve">I spoke with [OFFICER NAME] on [DATE] regarding a proposed secondary dwelling at [FULL ADDRESS], [LOT ON PLAN].</w:t>
      </w:r>
    </w:p>
    <w:p>
      <w:pPr>
        <w:pStyle w:val="BlockText"/>
      </w:pPr>
      <w:r>
        <w:t xml:space="preserve">I am writing to confirm my understanding of that conversation and to ask for written confirmation, as I will be making a significant financial commitment on the basis of this information.</w:t>
      </w:r>
    </w:p>
    <w:p>
      <w:pPr>
        <w:pStyle w:val="BlockText"/>
      </w:pPr>
      <w:r>
        <w:t xml:space="preserve">My understanding is:</w:t>
      </w:r>
    </w:p>
    <w:p>
      <w:pPr>
        <w:numPr>
          <w:ilvl w:val="0"/>
          <w:numId w:val="1007"/>
        </w:numPr>
        <w:pStyle w:val="Compact"/>
      </w:pPr>
      <w:r>
        <w:t xml:space="preserve">The property is zoned [ZONE].</w:t>
      </w:r>
    </w:p>
    <w:p>
      <w:pPr>
        <w:numPr>
          <w:ilvl w:val="0"/>
          <w:numId w:val="1007"/>
        </w:numPr>
        <w:pStyle w:val="Compact"/>
      </w:pPr>
      <w:r>
        <w:t xml:space="preserve">The following overlays apply: [OVERLAYS].</w:t>
      </w:r>
    </w:p>
    <w:p>
      <w:pPr>
        <w:numPr>
          <w:ilvl w:val="0"/>
          <w:numId w:val="1007"/>
        </w:numPr>
        <w:pStyle w:val="Compact"/>
      </w:pPr>
      <w:r>
        <w:t xml:space="preserve">A secondary dwelling [IS / IS NOT] permitted on this lot.</w:t>
      </w:r>
    </w:p>
    <w:p>
      <w:pPr>
        <w:numPr>
          <w:ilvl w:val="0"/>
          <w:numId w:val="1007"/>
        </w:numPr>
        <w:pStyle w:val="Compact"/>
      </w:pPr>
      <w:r>
        <w:t xml:space="preserve">The maximum permitted floor area is [AREA] square metres.</w:t>
      </w:r>
    </w:p>
    <w:p>
      <w:pPr>
        <w:numPr>
          <w:ilvl w:val="0"/>
          <w:numId w:val="1007"/>
        </w:numPr>
        <w:pStyle w:val="Compact"/>
      </w:pPr>
      <w:r>
        <w:t xml:space="preserve">Required setbacks are [SETBACKS].</w:t>
      </w:r>
    </w:p>
    <w:p>
      <w:pPr>
        <w:numPr>
          <w:ilvl w:val="0"/>
          <w:numId w:val="1007"/>
        </w:numPr>
        <w:pStyle w:val="Compact"/>
      </w:pPr>
      <w:r>
        <w:t xml:space="preserve">The dwelling [MAY / MAY NOT] be rented to a person who is not a family member.</w:t>
      </w:r>
    </w:p>
    <w:p>
      <w:pPr>
        <w:numPr>
          <w:ilvl w:val="0"/>
          <w:numId w:val="1007"/>
        </w:numPr>
        <w:pStyle w:val="Compact"/>
      </w:pPr>
      <w:r>
        <w:t xml:space="preserve">The approval pathway required is [PLANNING APPROVAL / BUILDING APPROVAL ONLY].</w:t>
      </w:r>
    </w:p>
    <w:p>
      <w:pPr>
        <w:numPr>
          <w:ilvl w:val="0"/>
          <w:numId w:val="1007"/>
        </w:numPr>
        <w:pStyle w:val="Compact"/>
      </w:pPr>
      <w:r>
        <w:t xml:space="preserve">The property [IS / IS NOT] connected to mains sewer.</w:t>
      </w:r>
    </w:p>
    <w:p>
      <w:pPr>
        <w:numPr>
          <w:ilvl w:val="0"/>
          <w:numId w:val="1007"/>
        </w:numPr>
        <w:pStyle w:val="Compact"/>
      </w:pPr>
      <w:r>
        <w:t xml:space="preserve">[ANY OTHER POINT]</w:t>
      </w:r>
    </w:p>
    <w:p>
      <w:pPr>
        <w:pStyle w:val="BlockText"/>
      </w:pPr>
      <w:r>
        <w:t xml:space="preserve">Could you please confirm whether this is correct, or correct anything I have misunderstood.</w:t>
      </w:r>
    </w:p>
    <w:p>
      <w:pPr>
        <w:pStyle w:val="BlockText"/>
      </w:pPr>
      <w:r>
        <w:t xml:space="preserve">Could you also point me to the relevant sections of the planning scheme so I can read them directly.</w:t>
      </w:r>
    </w:p>
    <w:p>
      <w:pPr>
        <w:pStyle w:val="BlockText"/>
      </w:pPr>
      <w:r>
        <w:t xml:space="preserve">Thank you for your help.</w:t>
      </w:r>
    </w:p>
    <w:p>
      <w:pPr>
        <w:pStyle w:val="BlockText"/>
      </w:pPr>
      <w:r>
        <w:t xml:space="preserve">[YOUR NAME]</w:t>
      </w:r>
      <w:r>
        <w:t xml:space="preserve"> </w:t>
      </w:r>
      <w:r>
        <w:t xml:space="preserve">[PHONE] | [EMAIL]</w:t>
      </w:r>
    </w:p>
    <w:p>
      <w:pPr>
        <w:pStyle w:val="FirstParagraph"/>
      </w:pPr>
      <w:r>
        <w:rPr>
          <w:bCs/>
          <w:b/>
        </w:rPr>
        <w:t xml:space="preserve">Keep the reply.</w:t>
      </w:r>
      <w:r>
        <w:t xml:space="preserve"> </w:t>
      </w:r>
      <w:r>
        <w:t xml:space="preserve">Your certifier will want to see it, and if council advice later changes, a dated written record of what you were told is worth having.</w:t>
      </w:r>
    </w:p>
    <w:p>
      <w:r>
        <w:pict>
          <v:rect style="width:0;height:1.5pt" o:hralign="center" o:hrstd="t" o:hr="t"/>
        </w:pict>
      </w:r>
    </w:p>
    <w:bookmarkEnd w:id="25"/>
    <w:bookmarkStart w:id="26" w:name="what-to-do-with-the-answers"/>
    <w:p>
      <w:pPr>
        <w:pStyle w:val="Heading2"/>
      </w:pPr>
      <w:r>
        <w:t xml:space="preserve">What to do with the answers</w:t>
      </w:r>
    </w:p>
    <w:p>
      <w:pPr>
        <w:pStyle w:val="FirstParagraph"/>
      </w:pPr>
      <w:r>
        <w:rPr>
          <w:bCs/>
          <w:b/>
        </w:rPr>
        <w:t xml:space="preserve">If a secondary dwelling is permitted and building approval is the only pathway.</w:t>
      </w:r>
      <w:r>
        <w:t xml:space="preserve"> </w:t>
      </w:r>
      <w:r>
        <w:t xml:space="preserve">Good. You are on the simpler road. Move to the soil test.</w:t>
      </w:r>
    </w:p>
    <w:p>
      <w:pPr>
        <w:pStyle w:val="BodyText"/>
      </w:pPr>
      <w:r>
        <w:rPr>
          <w:bCs/>
          <w:b/>
        </w:rPr>
        <w:t xml:space="preserve">If planning approval is required.</w:t>
      </w:r>
      <w:r>
        <w:t xml:space="preserve"> </w:t>
      </w:r>
      <w:r>
        <w:t xml:space="preserve">Add time and cost to your plan. Ask what the assessment timeframe currently is, because it varies enormously by council and season.</w:t>
      </w:r>
    </w:p>
    <w:p>
      <w:pPr>
        <w:pStyle w:val="BodyText"/>
      </w:pPr>
      <w:r>
        <w:rPr>
          <w:bCs/>
          <w:b/>
        </w:rPr>
        <w:t xml:space="preserve">If there’s a bushfire overlay.</w:t>
      </w:r>
      <w:r>
        <w:t xml:space="preserve"> </w:t>
      </w:r>
      <w:r>
        <w:t xml:space="preserve">Get a BAL assessment before you choose a design. This can rule out imported units entirely at higher ratings.</w:t>
      </w:r>
    </w:p>
    <w:p>
      <w:pPr>
        <w:pStyle w:val="BodyText"/>
      </w:pPr>
      <w:r>
        <w:rPr>
          <w:bCs/>
          <w:b/>
        </w:rPr>
        <w:t xml:space="preserve">If you’re told the floor area cap is below the unit you were looking at.</w:t>
      </w:r>
      <w:r>
        <w:t xml:space="preserve"> </w:t>
      </w:r>
      <w:r>
        <w:t xml:space="preserve">That is the answer. Do not try to argue it. Find a unit that fits.</w:t>
      </w:r>
    </w:p>
    <w:p>
      <w:pPr>
        <w:pStyle w:val="BodyText"/>
      </w:pPr>
      <w:r>
        <w:rPr>
          <w:bCs/>
          <w:b/>
        </w:rPr>
        <w:t xml:space="preserve">If you get a vague or uncertain answer.</w:t>
      </w:r>
      <w:r>
        <w:t xml:space="preserve"> </w:t>
      </w:r>
      <w:r>
        <w:t xml:space="preserve">Ask to speak to a senior planner, or ask what a formal written planning enquiry costs. Many councils offer one for a modest fee, and on a six figure decision that is money well spent.</w:t>
      </w:r>
    </w:p>
    <w:p>
      <w:pPr>
        <w:pStyle w:val="BodyText"/>
      </w:pPr>
      <w:r>
        <w:rPr>
          <w:bCs/>
          <w:b/>
        </w:rPr>
        <w:t xml:space="preserve">If the answer is no.</w:t>
      </w:r>
      <w:r>
        <w:t xml:space="preserve"> </w:t>
      </w:r>
      <w:r>
        <w:t xml:space="preserve">Better to know now. That is the entire point of making this call first.</w:t>
      </w:r>
    </w:p>
    <w:p>
      <w:r>
        <w:pict>
          <v:rect style="width:0;height:1.5pt" o:hralign="center" o:hrstd="t" o:hr="t"/>
        </w:pict>
      </w:r>
    </w:p>
    <w:p>
      <w:pPr>
        <w:pStyle w:val="FirstParagraph"/>
      </w:pPr>
      <w:r>
        <w:rPr>
          <w:bCs/>
          <w:b/>
        </w:rPr>
        <w:t xml:space="preserve">Disclaimer.</w:t>
      </w:r>
      <w:r>
        <w:t xml:space="preserve"> </w:t>
      </w:r>
      <w:r>
        <w:t xml:space="preserve">This template is general information only. It is not legal, planning or building advice. Planning schemes, local laws, zoning, overlays and approval pathways vary by state, territory and local government area and change without notice. Verbal advice from council staff is generally not binding on the council. Nothing in this document should be relied on in place of formal written advice from your local government and your own professional advisers. You must obtain your own advice before entering any contract, paying any deposit or commencing any works. To the extent permitted by law, the publisher excludes all liability for loss arising from reliance on this template.</w:t>
      </w:r>
    </w:p>
    <w:bookmarkEnd w:id="26"/>
    <w:sectPr>
      <w:headerReference w:type="default" r:id="rId9"/>
      <w:footerReference w:type="default" r:id="rId1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95959"/>
        <w:sz w:val="16"/>
      </w:rPr>
      <w:t>Tiny Home Guru Oz  ·  tinyhomeguruoz.gumroad.com</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2" w:space="4" w:color="C9A227"/>
      </w:pBdr>
    </w:pPr>
    <w:r/>
    <w:r>
      <w:drawing>
        <wp:inline xmlns:a="http://schemas.openxmlformats.org/drawingml/2006/main" xmlns:pic="http://schemas.openxmlformats.org/drawingml/2006/picture">
          <wp:extent cx="353148" cy="384048"/>
          <wp:docPr id="1" name="Picture 1"/>
          <wp:cNvGraphicFramePr>
            <a:graphicFrameLocks noChangeAspect="1"/>
          </wp:cNvGraphicFramePr>
          <a:graphic>
            <a:graphicData uri="http://schemas.openxmlformats.org/drawingml/2006/picture">
              <pic:pic>
                <pic:nvPicPr>
                  <pic:cNvPr id="0" name="logo_160.png"/>
                  <pic:cNvPicPr/>
                </pic:nvPicPr>
                <pic:blipFill>
                  <a:blip r:embed="rId1"/>
                  <a:stretch>
                    <a:fillRect/>
                  </a:stretch>
                </pic:blipFill>
                <pic:spPr>
                  <a:xfrm>
                    <a:off x="0" y="0"/>
                    <a:ext cx="353148" cy="384048"/>
                  </a:xfrm>
                  <a:prstGeom prst="rect"/>
                </pic:spPr>
              </pic:pic>
            </a:graphicData>
          </a:graphic>
        </wp:inline>
      </w:drawing>
    </w:r>
    <w:r>
      <w:rPr>
        <w:b/>
        <w:color w:val="14213D"/>
        <w:sz w:val="22"/>
      </w:rPr>
      <w:t xml:space="preserve">    Tiny Home Guru Oz</w:t>
    </w:r>
    <w:r>
      <w:rPr>
        <w:color w:val="595959"/>
        <w:sz w:val="18"/>
      </w:rPr>
      <w:t xml:space="preserve">   ·   Australian Buyer's Toolkit</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4">
    <w:nsid w:val="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9">
    <w:nsid w:val="A9941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112">
    <w:nsid w:val="A994112"/>
    <w:multiLevelType w:val="multilevel"/>
    <w:lvl w:ilvl="0">
      <w:start w:val="12"/>
      <w:numFmt w:val="decimal"/>
      <w:lvlText w:val="%1."/>
      <w:lvlJc w:val="left"/>
      <w:pPr>
        <w:ind w:left="720" w:hanging="480"/>
      </w:pPr>
    </w:lvl>
    <w:lvl w:ilvl="1">
      <w:start w:val="12"/>
      <w:numFmt w:val="decimal"/>
      <w:lvlText w:val="%2."/>
      <w:lvlJc w:val="left"/>
      <w:pPr>
        <w:ind w:left="1440" w:hanging="480"/>
      </w:pPr>
    </w:lvl>
    <w:lvl w:ilvl="2">
      <w:start w:val="12"/>
      <w:numFmt w:val="decimal"/>
      <w:lvlText w:val="%3."/>
      <w:lvlJc w:val="left"/>
      <w:pPr>
        <w:ind w:left="2160" w:hanging="480"/>
      </w:pPr>
    </w:lvl>
    <w:lvl w:ilvl="3">
      <w:start w:val="12"/>
      <w:numFmt w:val="decimal"/>
      <w:lvlText w:val="%4."/>
      <w:lvlJc w:val="left"/>
      <w:pPr>
        <w:ind w:left="2880" w:hanging="480"/>
      </w:pPr>
    </w:lvl>
    <w:lvl w:ilvl="4">
      <w:start w:val="12"/>
      <w:numFmt w:val="decimal"/>
      <w:lvlText w:val="%5."/>
      <w:lvlJc w:val="left"/>
      <w:pPr>
        <w:ind w:left="3600" w:hanging="480"/>
      </w:pPr>
    </w:lvl>
    <w:lvl w:ilvl="5">
      <w:start w:val="12"/>
      <w:numFmt w:val="decimal"/>
      <w:lvlText w:val="%6."/>
      <w:lvlJc w:val="left"/>
      <w:pPr>
        <w:ind w:left="4320" w:hanging="480"/>
      </w:pPr>
    </w:lvl>
    <w:lvl w:ilvl="6">
      <w:start w:val="12"/>
      <w:numFmt w:val="decimal"/>
      <w:lvlText w:val="%7."/>
      <w:lvlJc w:val="left"/>
      <w:pPr>
        <w:ind w:left="5040" w:hanging="480"/>
      </w:pPr>
    </w:lvl>
    <w:lvl w:ilvl="7">
      <w:start w:val="12"/>
      <w:numFmt w:val="decimal"/>
      <w:lvlText w:val="%8."/>
      <w:lvlJc w:val="left"/>
      <w:pPr>
        <w:ind w:left="5760" w:hanging="480"/>
      </w:pPr>
    </w:lvl>
    <w:lvl w:ilvl="8">
      <w:start w:val="12"/>
      <w:numFmt w:val="decimal"/>
      <w:lvlText w:val="%9."/>
      <w:lvlJc w:val="left"/>
      <w:pPr>
        <w:ind w:left="6480" w:hanging="480"/>
      </w:pPr>
    </w:lvl>
  </w:abstractNum>
  <w:abstractNum w:abstractNumId="994116">
    <w:nsid w:val="A994116"/>
    <w:multiLevelType w:val="multilevel"/>
    <w:lvl w:ilvl="0">
      <w:start w:val="16"/>
      <w:numFmt w:val="decimal"/>
      <w:lvlText w:val="%1."/>
      <w:lvlJc w:val="left"/>
      <w:pPr>
        <w:ind w:left="720" w:hanging="480"/>
      </w:pPr>
    </w:lvl>
    <w:lvl w:ilvl="1">
      <w:start w:val="16"/>
      <w:numFmt w:val="decimal"/>
      <w:lvlText w:val="%2."/>
      <w:lvlJc w:val="left"/>
      <w:pPr>
        <w:ind w:left="1440" w:hanging="480"/>
      </w:pPr>
    </w:lvl>
    <w:lvl w:ilvl="2">
      <w:start w:val="16"/>
      <w:numFmt w:val="decimal"/>
      <w:lvlText w:val="%3."/>
      <w:lvlJc w:val="left"/>
      <w:pPr>
        <w:ind w:left="2160" w:hanging="480"/>
      </w:pPr>
    </w:lvl>
    <w:lvl w:ilvl="3">
      <w:start w:val="16"/>
      <w:numFmt w:val="decimal"/>
      <w:lvlText w:val="%4."/>
      <w:lvlJc w:val="left"/>
      <w:pPr>
        <w:ind w:left="2880" w:hanging="480"/>
      </w:pPr>
    </w:lvl>
    <w:lvl w:ilvl="4">
      <w:start w:val="16"/>
      <w:numFmt w:val="decimal"/>
      <w:lvlText w:val="%5."/>
      <w:lvlJc w:val="left"/>
      <w:pPr>
        <w:ind w:left="3600" w:hanging="480"/>
      </w:pPr>
    </w:lvl>
    <w:lvl w:ilvl="5">
      <w:start w:val="16"/>
      <w:numFmt w:val="decimal"/>
      <w:lvlText w:val="%6."/>
      <w:lvlJc w:val="left"/>
      <w:pPr>
        <w:ind w:left="4320" w:hanging="480"/>
      </w:pPr>
    </w:lvl>
    <w:lvl w:ilvl="6">
      <w:start w:val="16"/>
      <w:numFmt w:val="decimal"/>
      <w:lvlText w:val="%7."/>
      <w:lvlJc w:val="left"/>
      <w:pPr>
        <w:ind w:left="5040" w:hanging="480"/>
      </w:pPr>
    </w:lvl>
    <w:lvl w:ilvl="7">
      <w:start w:val="16"/>
      <w:numFmt w:val="decimal"/>
      <w:lvlText w:val="%8."/>
      <w:lvlJc w:val="left"/>
      <w:pPr>
        <w:ind w:left="5760" w:hanging="480"/>
      </w:pPr>
    </w:lvl>
    <w:lvl w:ilvl="8">
      <w:start w:val="16"/>
      <w:numFmt w:val="decimal"/>
      <w:lvlText w:val="%9."/>
      <w:lvlJc w:val="left"/>
      <w:pPr>
        <w:ind w:left="6480" w:hanging="480"/>
      </w:pPr>
    </w:lvl>
  </w:abstractNum>
  <w:abstractNum w:abstractNumId="994119">
    <w:nsid w:val="A994119"/>
    <w:multiLevelType w:val="multilevel"/>
    <w:lvl w:ilvl="0">
      <w:start w:val="19"/>
      <w:numFmt w:val="decimal"/>
      <w:lvlText w:val="%1."/>
      <w:lvlJc w:val="left"/>
      <w:pPr>
        <w:ind w:left="720" w:hanging="480"/>
      </w:pPr>
    </w:lvl>
    <w:lvl w:ilvl="1">
      <w:start w:val="19"/>
      <w:numFmt w:val="decimal"/>
      <w:lvlText w:val="%2."/>
      <w:lvlJc w:val="left"/>
      <w:pPr>
        <w:ind w:left="1440" w:hanging="480"/>
      </w:pPr>
    </w:lvl>
    <w:lvl w:ilvl="2">
      <w:start w:val="19"/>
      <w:numFmt w:val="decimal"/>
      <w:lvlText w:val="%3."/>
      <w:lvlJc w:val="left"/>
      <w:pPr>
        <w:ind w:left="2160" w:hanging="480"/>
      </w:pPr>
    </w:lvl>
    <w:lvl w:ilvl="3">
      <w:start w:val="19"/>
      <w:numFmt w:val="decimal"/>
      <w:lvlText w:val="%4."/>
      <w:lvlJc w:val="left"/>
      <w:pPr>
        <w:ind w:left="2880" w:hanging="480"/>
      </w:pPr>
    </w:lvl>
    <w:lvl w:ilvl="4">
      <w:start w:val="19"/>
      <w:numFmt w:val="decimal"/>
      <w:lvlText w:val="%5."/>
      <w:lvlJc w:val="left"/>
      <w:pPr>
        <w:ind w:left="3600" w:hanging="480"/>
      </w:pPr>
    </w:lvl>
    <w:lvl w:ilvl="5">
      <w:start w:val="19"/>
      <w:numFmt w:val="decimal"/>
      <w:lvlText w:val="%6."/>
      <w:lvlJc w:val="left"/>
      <w:pPr>
        <w:ind w:left="4320" w:hanging="480"/>
      </w:pPr>
    </w:lvl>
    <w:lvl w:ilvl="6">
      <w:start w:val="19"/>
      <w:numFmt w:val="decimal"/>
      <w:lvlText w:val="%7."/>
      <w:lvlJc w:val="left"/>
      <w:pPr>
        <w:ind w:left="5040" w:hanging="480"/>
      </w:pPr>
    </w:lvl>
    <w:lvl w:ilvl="7">
      <w:start w:val="19"/>
      <w:numFmt w:val="decimal"/>
      <w:lvlText w:val="%8."/>
      <w:lvlJc w:val="left"/>
      <w:pPr>
        <w:ind w:left="5760" w:hanging="480"/>
      </w:pPr>
    </w:lvl>
    <w:lvl w:ilvl="8">
      <w:start w:val="19"/>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5">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6">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Georgia" w:eastAsia="Georgia" w:hAnsi="Georgia"/>
        <w:sz w:val="21"/>
        <w:szCs w:val="21"/>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40" w:line="288" w:lineRule="auto"/>
      <w:spacing w:after="140" w:line="288" w:lineRule="auto"/>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spacing w:after="80"/>
      <w:pBdr>
        <w:bottom w:color="C9A227" w:space="8" w:sz="18" w:val="single"/>
      </w:pBdr>
      <w:spacing w:after="80"/>
      <w:pBdr>
        <w:bottom w:color="C9A227" w:space="8" w:sz="18" w:val="single"/>
      </w:pBdr>
      <w:spacing w:after="60"/>
      <w:pBdr>
        <w:bottom w:color="C9A227" w:space="8" w:sz="18" w:val="single"/>
      </w:pBdr>
      <w:keepNext/>
      <w:keepLines/>
      <w:spacing w:after="240" w:before="480"/>
      <w:jc w:val="center"/>
    </w:pPr>
    <w:rPr>
      <w:color w:val="14213D"/>
      <w:sz w:val="52"/>
      <w:szCs w:val="52"/>
      <w:b w:val="0"/>
      <w:rFonts w:ascii="Georgia" w:cs="Georgia" w:eastAsia="Georgia" w:hAnsi="Georgia"/>
      <w:rFonts w:ascii="Georgia" w:cs="Georgia" w:eastAsia="Georgia" w:hAnsi="Georgia"/>
      <w:rFonts w:ascii="Georgia" w:cs="Georgia" w:eastAsia="Georgia" w:hAnsi="Georgia"/>
      <w:rFonts w:ascii="Georgia" w:cs="Georgia" w:eastAsia="Georgia" w:hAnsi="Georgia"/>
      <w:sz w:val="21"/>
      <w:szCs w:val="21"/>
      <w:rFonts w:ascii="Georgia" w:cs="Georgia" w:eastAsia="Georgia" w:hAnsi="Georgia"/>
      <w:color w:val="14213D"/>
      <w:sz w:val="52"/>
      <w:szCs w:val="52"/>
      <w:b w:val="0"/>
      <w:rFonts w:ascii="Georgia" w:cs="Georgia" w:eastAsia="Georgia" w:hAnsi="Georgia"/>
      <w:rFonts w:ascii="Georgia" w:cs="Georgia" w:eastAsia="Georgia" w:hAnsi="Georgia"/>
      <w:rFonts w:ascii="Georgia" w:cs="Georgia" w:eastAsia="Georgia" w:hAnsi="Georgia"/>
      <w:rFonts w:ascii="Georgia" w:cs="Georgia" w:eastAsia="Georgia" w:hAnsi="Georgia"/>
      <w:sz w:val="21"/>
      <w:szCs w:val="21"/>
      <w:rFonts w:ascii="Georgia" w:cs="Georgia" w:eastAsia="Georgia" w:hAnsi="Georgia"/>
      <w:rFonts w:ascii="Georgia" w:hAnsi="Georgia"/>
      <w:color w:val="14213D"/>
      <w:sz w:val="52"/>
      <w:szCs w:val="52"/>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color w:val="595959"/>
      <w:sz w:val="17"/>
      <w:i/>
      <w:rFonts w:ascii="Arial" w:cs="Arial" w:eastAsia="Arial" w:hAnsi="Arial"/>
      <w:color w:val="595959"/>
      <w:sz w:val="17"/>
      <w:i/>
      <w:rFonts w:ascii="Arial" w:cs="Arial" w:eastAsia="Arial" w:hAnsi="Arial"/>
      <w:rFonts w:ascii="Arial" w:hAnsi="Arial"/>
      <w:color w:val="595959"/>
      <w:sz w:val="17"/>
      <w:i/>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spacing w:after="120" w:before="360"/>
      <w:pBdr>
        <w:bottom w:color="14213D" w:space="6" w:sz="12" w:val="single"/>
      </w:pBdr>
      <w:spacing w:after="120" w:before="360"/>
      <w:pBdr>
        <w:bottom w:color="14213D" w:space="6" w:sz="12" w:val="single"/>
      </w:pBdr>
      <w:spacing w:after="120" w:before="360"/>
      <w:pBdr>
        <w:bottom w:color="14213D" w:space="6" w:sz="12" w:val="single"/>
      </w:pBdr>
      <w:keepNext/>
      <w:keepLines/>
      <w:spacing w:after="0" w:before="480"/>
      <w:outlineLvl w:val="0"/>
    </w:pPr>
    <w:rPr>
      <w:color w:val="14213D"/>
      <w:sz w:val="34"/>
      <w:szCs w:val="34"/>
      <w:b w:val="0"/>
      <w:rFonts w:ascii="Georgia" w:cs="Georgia" w:eastAsia="Georgia" w:hAnsi="Georgia"/>
      <w:color w:val="14213D"/>
      <w:sz w:val="34"/>
      <w:szCs w:val="34"/>
      <w:b w:val="0"/>
      <w:rFonts w:ascii="Georgia" w:cs="Georgia" w:eastAsia="Georgia" w:hAnsi="Georgia"/>
      <w:rFonts w:ascii="Georgia" w:hAnsi="Georgia"/>
      <w:color w:val="14213D"/>
      <w:sz w:val="34"/>
      <w:szCs w:val="34"/>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spacing w:after="100" w:before="300"/>
      <w:spacing w:after="100" w:before="300"/>
      <w:spacing w:after="100" w:before="300"/>
      <w:keepNext/>
      <w:keepLines/>
      <w:spacing w:after="0" w:before="200"/>
      <w:outlineLvl w:val="1"/>
    </w:pPr>
    <w:rPr>
      <w:color w:val="14213D"/>
      <w:sz w:val="26"/>
      <w:szCs w:val="26"/>
      <w:b w:val="0"/>
      <w:rFonts w:ascii="Georgia" w:cs="Georgia" w:eastAsia="Georgia" w:hAnsi="Georgia"/>
      <w:color w:val="14213D"/>
      <w:sz w:val="26"/>
      <w:szCs w:val="26"/>
      <w:b w:val="0"/>
      <w:rFonts w:ascii="Georgia" w:cs="Georgia" w:eastAsia="Georgia" w:hAnsi="Georgia"/>
      <w:rFonts w:ascii="Georgia" w:hAnsi="Georgia"/>
      <w:color w:val="14213D"/>
      <w:sz w:val="26"/>
      <w:szCs w:val="26"/>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spacing w:after="80" w:before="240"/>
      <w:spacing w:after="80" w:before="240"/>
      <w:spacing w:after="80" w:before="240"/>
      <w:keepNext/>
      <w:keepLines/>
      <w:spacing w:after="0" w:before="200"/>
      <w:outlineLvl w:val="2"/>
    </w:pPr>
    <w:rPr>
      <w:color w:val="14213D"/>
      <w:sz w:val="22"/>
      <w:szCs w:val="22"/>
      <w:b/>
      <w:rFonts w:ascii="Georgia" w:cs="Georgia" w:eastAsia="Georgia" w:hAnsi="Georgia"/>
      <w:color w:val="14213D"/>
      <w:sz w:val="22"/>
      <w:szCs w:val="22"/>
      <w:b/>
      <w:rFonts w:ascii="Georgia" w:cs="Georgia" w:eastAsia="Georgia" w:hAnsi="Georgia"/>
      <w:rFonts w:ascii="Georgia" w:hAnsi="Georgia"/>
      <w:color w:val="14213D"/>
      <w:sz w:val="22"/>
      <w:szCs w:val="22"/>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pBdr>
        <w:left w:color="C9A227" w:space="10" w:sz="18" w:val="single"/>
      </w:pBdr>
      <w:ind w:left="340"/>
      <w:spacing w:after="120" w:before="120"/>
      <w:pBdr>
        <w:left w:color="C9A227" w:space="10" w:sz="18" w:val="single"/>
      </w:pBdr>
      <w:ind w:left="340"/>
      <w:spacing w:after="120" w:before="120"/>
      <w:pBdr>
        <w:left w:color="C9A227" w:space="10" w:sz="18" w:val="single"/>
      </w:pBdr>
      <w:ind w:left="340"/>
      <w:spacing w:after="100" w:before="100"/>
      <w:ind w:firstLine="0" w:left="480" w:right="480"/>
    </w:pPr>
    <w:rPr>
      <w:color w:val="333333"/>
      <w:sz w:val="20"/>
      <w:rFonts w:ascii="Georgia" w:cs="Georgia" w:eastAsia="Georgia" w:hAnsi="Georgia"/>
      <w:color w:val="333333"/>
      <w:sz w:val="20"/>
      <w:rFonts w:ascii="Georgia" w:cs="Georgia" w:eastAsia="Georgia" w:hAnsi="Georgia"/>
      <w:rFonts w:ascii="Georgia" w:hAnsi="Georgia"/>
      <w:color w:val="333333"/>
      <w:sz w:val="20"/>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Enquiry Template</dc:title>
  <dc:creator/>
  <cp:keywords/>
  <dcterms:created xsi:type="dcterms:W3CDTF">2026-07-23T09:28:08Z</dcterms:created>
  <dcterms:modified xsi:type="dcterms:W3CDTF">2026-07-23T09:28:08Z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Australian Tiny Home Buyer's Toolkit | Version 1.0 | July 2026</vt:lpwstr>
  </property>
</Properties>
</file>